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72" w:rsidRDefault="002F1172" w:rsidP="002F1172">
      <w:pPr>
        <w:spacing w:after="0"/>
        <w:jc w:val="center"/>
        <w:rPr>
          <w:rFonts w:ascii="Times New Roman" w:hAnsi="Times New Roman" w:cs="Times New Roman"/>
        </w:rPr>
      </w:pPr>
      <w:bookmarkStart w:id="0" w:name="_GoBack"/>
      <w:bookmarkEnd w:id="0"/>
      <w:r>
        <w:rPr>
          <w:rFonts w:ascii="Times New Roman" w:hAnsi="Times New Roman" w:cs="Times New Roman"/>
        </w:rPr>
        <w:t>CGT</w:t>
      </w:r>
    </w:p>
    <w:p w:rsidR="002F1172" w:rsidRDefault="002F1172" w:rsidP="002F1172">
      <w:pPr>
        <w:spacing w:after="0"/>
        <w:jc w:val="center"/>
        <w:rPr>
          <w:rFonts w:ascii="Times New Roman" w:hAnsi="Times New Roman" w:cs="Times New Roman"/>
        </w:rPr>
      </w:pPr>
      <w:r>
        <w:rPr>
          <w:rFonts w:ascii="Times New Roman" w:hAnsi="Times New Roman" w:cs="Times New Roman"/>
        </w:rPr>
        <w:t>Collectif Confédéral Démocratie Sociale</w:t>
      </w:r>
    </w:p>
    <w:p w:rsidR="002F1172" w:rsidRPr="002F1172" w:rsidRDefault="002F1172" w:rsidP="002F1172">
      <w:pPr>
        <w:spacing w:after="0"/>
        <w:jc w:val="center"/>
        <w:rPr>
          <w:rFonts w:ascii="Times New Roman" w:hAnsi="Times New Roman" w:cs="Times New Roman"/>
        </w:rPr>
      </w:pPr>
      <w:r w:rsidRPr="002F1172">
        <w:rPr>
          <w:rFonts w:ascii="Times New Roman" w:hAnsi="Times New Roman" w:cs="Times New Roman"/>
        </w:rPr>
        <w:t>Echéancier de mise en application de la loi</w:t>
      </w:r>
    </w:p>
    <w:p w:rsidR="002F1172" w:rsidRPr="002F1172" w:rsidRDefault="002F1172" w:rsidP="002F1172">
      <w:pPr>
        <w:jc w:val="center"/>
        <w:rPr>
          <w:rFonts w:ascii="Times New Roman" w:hAnsi="Times New Roman" w:cs="Times New Roman"/>
        </w:rPr>
      </w:pPr>
      <w:r w:rsidRPr="002F1172">
        <w:rPr>
          <w:rFonts w:ascii="Times New Roman" w:hAnsi="Times New Roman" w:cs="Times New Roman"/>
        </w:rPr>
        <w:t>Date de dernière mise à jour des décrets publiés : 25/11/2016</w:t>
      </w:r>
    </w:p>
    <w:p w:rsidR="002F1172" w:rsidRPr="002F1172" w:rsidRDefault="002F1172" w:rsidP="002F1172">
      <w:pPr>
        <w:rPr>
          <w:rFonts w:ascii="Times New Roman" w:hAnsi="Times New Roman"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Nombre de mesures d'application prévues : 141"/>
      </w:tblPr>
      <w:tblGrid>
        <w:gridCol w:w="1022"/>
        <w:gridCol w:w="2072"/>
        <w:gridCol w:w="7486"/>
        <w:gridCol w:w="3414"/>
      </w:tblGrid>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b/>
                <w:bCs/>
              </w:rPr>
            </w:pPr>
            <w:r w:rsidRPr="002F1172">
              <w:rPr>
                <w:rFonts w:ascii="Times New Roman" w:hAnsi="Times New Roman" w:cs="Times New Roman"/>
                <w:b/>
                <w:bCs/>
              </w:rPr>
              <w:t xml:space="preserve">Articles </w:t>
            </w:r>
          </w:p>
        </w:tc>
        <w:tc>
          <w:tcPr>
            <w:tcW w:w="0" w:type="auto"/>
            <w:vAlign w:val="center"/>
            <w:hideMark/>
          </w:tcPr>
          <w:p w:rsidR="002F1172" w:rsidRPr="002F1172" w:rsidRDefault="002F1172" w:rsidP="002F1172">
            <w:pPr>
              <w:rPr>
                <w:rFonts w:ascii="Times New Roman" w:hAnsi="Times New Roman" w:cs="Times New Roman"/>
                <w:b/>
                <w:bCs/>
              </w:rPr>
            </w:pPr>
            <w:r w:rsidRPr="002F1172">
              <w:rPr>
                <w:rFonts w:ascii="Times New Roman" w:hAnsi="Times New Roman" w:cs="Times New Roman"/>
                <w:b/>
                <w:bCs/>
              </w:rPr>
              <w:t xml:space="preserve">Base légale </w:t>
            </w:r>
          </w:p>
        </w:tc>
        <w:tc>
          <w:tcPr>
            <w:tcW w:w="0" w:type="auto"/>
            <w:vAlign w:val="center"/>
            <w:hideMark/>
          </w:tcPr>
          <w:p w:rsidR="002F1172" w:rsidRPr="002F1172" w:rsidRDefault="002F1172" w:rsidP="002F1172">
            <w:pPr>
              <w:rPr>
                <w:rFonts w:ascii="Times New Roman" w:hAnsi="Times New Roman" w:cs="Times New Roman"/>
                <w:b/>
                <w:bCs/>
              </w:rPr>
            </w:pPr>
            <w:r w:rsidRPr="002F1172">
              <w:rPr>
                <w:rFonts w:ascii="Times New Roman" w:hAnsi="Times New Roman" w:cs="Times New Roman"/>
                <w:b/>
                <w:bCs/>
              </w:rPr>
              <w:t xml:space="preserve">Objet </w:t>
            </w:r>
          </w:p>
        </w:tc>
        <w:tc>
          <w:tcPr>
            <w:tcW w:w="0" w:type="auto"/>
            <w:vAlign w:val="center"/>
            <w:hideMark/>
          </w:tcPr>
          <w:p w:rsidR="002F1172" w:rsidRPr="002F1172" w:rsidRDefault="002F1172" w:rsidP="002F1172">
            <w:pPr>
              <w:rPr>
                <w:rFonts w:ascii="Times New Roman" w:hAnsi="Times New Roman" w:cs="Times New Roman"/>
                <w:b/>
                <w:bCs/>
              </w:rPr>
            </w:pPr>
            <w:r w:rsidRPr="002F1172">
              <w:rPr>
                <w:rFonts w:ascii="Times New Roman" w:hAnsi="Times New Roman" w:cs="Times New Roman"/>
                <w:b/>
                <w:bCs/>
              </w:rPr>
              <w:t xml:space="preserve">Décrets (ou observations)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8, II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3121-12, 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d’information des salariés concernés et délais de prévenance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4"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8, II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3121-15,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Mise en place du régime d’équivalence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5"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3121-18, 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Dérogation accordée par l’autorité administrative à la durée quotidienne du travail effectif par salarié ne pouvant excéder dix heures</w:t>
            </w:r>
          </w:p>
        </w:tc>
        <w:tc>
          <w:tcPr>
            <w:tcW w:w="0" w:type="auto"/>
            <w:vAlign w:val="center"/>
            <w:hideMark/>
          </w:tcPr>
          <w:p w:rsidR="002F1172" w:rsidRPr="002F1172" w:rsidRDefault="00EE2272" w:rsidP="002F1172">
            <w:pPr>
              <w:rPr>
                <w:rFonts w:ascii="Times New Roman" w:hAnsi="Times New Roman" w:cs="Times New Roman"/>
              </w:rPr>
            </w:pPr>
            <w:hyperlink r:id="rId6"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8, II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3121-18, 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Dérogation pour cas d'urgence à la durée quotidienne du travail effectif par salarié ne pouvant excéder dix heures</w:t>
            </w:r>
          </w:p>
        </w:tc>
        <w:tc>
          <w:tcPr>
            <w:tcW w:w="0" w:type="auto"/>
            <w:vAlign w:val="center"/>
            <w:hideMark/>
          </w:tcPr>
          <w:p w:rsidR="002F1172" w:rsidRPr="002F1172" w:rsidRDefault="00EE2272" w:rsidP="002F1172">
            <w:pPr>
              <w:rPr>
                <w:rFonts w:ascii="Times New Roman" w:hAnsi="Times New Roman" w:cs="Times New Roman"/>
              </w:rPr>
            </w:pPr>
            <w:hyperlink r:id="rId7"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8, II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3121-21,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circonstances exceptionnelles et pour la durée de celles-ci, le dépassement de la durée maximale définie à l’article L 3121-19 peut être autorisé par l’autorité administrative</w:t>
            </w:r>
          </w:p>
        </w:tc>
        <w:tc>
          <w:tcPr>
            <w:tcW w:w="0" w:type="auto"/>
            <w:vAlign w:val="center"/>
            <w:hideMark/>
          </w:tcPr>
          <w:p w:rsidR="002F1172" w:rsidRPr="002F1172" w:rsidRDefault="00EE2272" w:rsidP="002F1172">
            <w:pPr>
              <w:rPr>
                <w:rFonts w:ascii="Times New Roman" w:hAnsi="Times New Roman" w:cs="Times New Roman"/>
              </w:rPr>
            </w:pPr>
            <w:hyperlink r:id="rId8"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3121-24,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Autorisation de dépassement de la durée maximale hebdomadaire prévue à l’article L 3121-21 par l’autorité administrative</w:t>
            </w:r>
          </w:p>
        </w:tc>
        <w:tc>
          <w:tcPr>
            <w:tcW w:w="0" w:type="auto"/>
            <w:vAlign w:val="center"/>
            <w:hideMark/>
          </w:tcPr>
          <w:p w:rsidR="002F1172" w:rsidRPr="002F1172" w:rsidRDefault="00EE2272" w:rsidP="002F1172">
            <w:pPr>
              <w:rPr>
                <w:rFonts w:ascii="Times New Roman" w:hAnsi="Times New Roman" w:cs="Times New Roman"/>
              </w:rPr>
            </w:pPr>
            <w:hyperlink r:id="rId9"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3121-25,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à titre exceptionnel, dans certains secteurs, dans certaines régions ou dans certaines entreprises, le dépassement de la durée maximale de quarante-six heures prévue aux articles L 3121-22 et L 3121-23 peut être autorisé pendant des périodes déterminées</w:t>
            </w:r>
          </w:p>
        </w:tc>
        <w:tc>
          <w:tcPr>
            <w:tcW w:w="0" w:type="auto"/>
            <w:vAlign w:val="center"/>
            <w:hideMark/>
          </w:tcPr>
          <w:p w:rsidR="002F1172" w:rsidRPr="002F1172" w:rsidRDefault="00EE2272" w:rsidP="002F1172">
            <w:pPr>
              <w:rPr>
                <w:rFonts w:ascii="Times New Roman" w:hAnsi="Times New Roman" w:cs="Times New Roman"/>
              </w:rPr>
            </w:pPr>
            <w:hyperlink r:id="rId10"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lastRenderedPageBreak/>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3121-34,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Branches d’activité à caractère saisonnier : dérogation aux dispositions relatives à la détermination des périodes de référence pour le décompte des heures supplémentaires et des repos compensateurs.</w:t>
            </w:r>
          </w:p>
        </w:tc>
        <w:tc>
          <w:tcPr>
            <w:tcW w:w="0" w:type="auto"/>
            <w:vAlign w:val="center"/>
            <w:hideMark/>
          </w:tcPr>
          <w:p w:rsidR="002F1172" w:rsidRPr="002F1172" w:rsidRDefault="00EE2272" w:rsidP="002F1172">
            <w:pPr>
              <w:rPr>
                <w:rFonts w:ascii="Times New Roman" w:hAnsi="Times New Roman" w:cs="Times New Roman"/>
              </w:rPr>
            </w:pPr>
            <w:hyperlink r:id="rId11"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3121-39,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Contingent annuel défini à l’article L 3121-29, caractéristiques et conditions de prise de la contrepartie obligatoire sous forme de repos pour toute heure supplémentaire effectuée </w:t>
            </w:r>
            <w:proofErr w:type="spellStart"/>
            <w:r w:rsidRPr="002F1172">
              <w:rPr>
                <w:rFonts w:ascii="Times New Roman" w:hAnsi="Times New Roman" w:cs="Times New Roman"/>
              </w:rPr>
              <w:t>au delà</w:t>
            </w:r>
            <w:proofErr w:type="spellEnd"/>
            <w:r w:rsidRPr="002F1172">
              <w:rPr>
                <w:rFonts w:ascii="Times New Roman" w:hAnsi="Times New Roman" w:cs="Times New Roman"/>
              </w:rPr>
              <w:t xml:space="preserve"> de ce contingent.</w:t>
            </w:r>
          </w:p>
        </w:tc>
        <w:tc>
          <w:tcPr>
            <w:tcW w:w="0" w:type="auto"/>
            <w:vAlign w:val="center"/>
            <w:hideMark/>
          </w:tcPr>
          <w:p w:rsidR="002F1172" w:rsidRPr="002F1172" w:rsidRDefault="00EE2272" w:rsidP="002F1172">
            <w:pPr>
              <w:rPr>
                <w:rFonts w:ascii="Times New Roman" w:hAnsi="Times New Roman" w:cs="Times New Roman"/>
              </w:rPr>
            </w:pPr>
            <w:hyperlink r:id="rId12"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3121-45,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l’employeur peut mettre en place une répartition sur plusieurs semaines de la durée du travail, dans la limite de neuf semaines pour les entreprises employant moins de cinquante salariés et dans la limite de quatre semaines pour les entreprises de cinquante salariés et plus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13"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3121-52,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Limites et modalités du report d’heures en cas de mise en place d’un dispositif d’horaires individualisés et de récupération des heures perdues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14"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3121-69,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Mesures d’application des articles L 3121-23 à L 3121-25 (dispositions supplétives applicables en matière de durée hebdomadaire maximale)</w:t>
            </w:r>
          </w:p>
        </w:tc>
        <w:tc>
          <w:tcPr>
            <w:tcW w:w="0" w:type="auto"/>
            <w:vAlign w:val="center"/>
            <w:hideMark/>
          </w:tcPr>
          <w:p w:rsidR="002F1172" w:rsidRPr="002F1172" w:rsidRDefault="00EE2272" w:rsidP="002F1172">
            <w:pPr>
              <w:rPr>
                <w:rFonts w:ascii="Times New Roman" w:hAnsi="Times New Roman" w:cs="Times New Roman"/>
              </w:rPr>
            </w:pPr>
            <w:hyperlink r:id="rId15"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3122-6,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circonstances exceptionnelles, l’inspecteur du travail peut autoriser le dépassement de la durée quotidienne de travail mentionnée au premier alinéa du présent article après consultation des délégués syndicaux et après avis du comité d’entreprise ou, à défaut, des délégués du personnel, s’ils existent</w:t>
            </w:r>
          </w:p>
        </w:tc>
        <w:tc>
          <w:tcPr>
            <w:tcW w:w="0" w:type="auto"/>
            <w:vAlign w:val="center"/>
            <w:hideMark/>
          </w:tcPr>
          <w:p w:rsidR="002F1172" w:rsidRPr="002F1172" w:rsidRDefault="00EE2272" w:rsidP="002F1172">
            <w:pPr>
              <w:rPr>
                <w:rFonts w:ascii="Times New Roman" w:hAnsi="Times New Roman" w:cs="Times New Roman"/>
              </w:rPr>
            </w:pPr>
            <w:hyperlink r:id="rId16"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3122-10,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de consultation du médecin du travail avant toute décision importante relative à la mise en place ou à la modification de l’organisation du travail de nuit</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3122-11,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Surveillance médicale particulière des travailleurs de nuit (renvoi article 44)</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lastRenderedPageBreak/>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3122-17,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Dépassement de la durée maximale quotidienne de travail prévue à l’article L 3122-6</w:t>
            </w:r>
          </w:p>
        </w:tc>
        <w:tc>
          <w:tcPr>
            <w:tcW w:w="0" w:type="auto"/>
            <w:vAlign w:val="center"/>
            <w:hideMark/>
          </w:tcPr>
          <w:p w:rsidR="002F1172" w:rsidRPr="002F1172" w:rsidRDefault="00EE2272" w:rsidP="002F1172">
            <w:pPr>
              <w:rPr>
                <w:rFonts w:ascii="Times New Roman" w:hAnsi="Times New Roman" w:cs="Times New Roman"/>
              </w:rPr>
            </w:pPr>
            <w:hyperlink r:id="rId17"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3122-21,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les travailleurs peuvent être affectés à des postes de nuit sur autorisation de l’inspecteur du travail accordée</w:t>
            </w:r>
          </w:p>
        </w:tc>
        <w:tc>
          <w:tcPr>
            <w:tcW w:w="0" w:type="auto"/>
            <w:vAlign w:val="center"/>
            <w:hideMark/>
          </w:tcPr>
          <w:p w:rsidR="002F1172" w:rsidRPr="002F1172" w:rsidRDefault="00EE2272" w:rsidP="002F1172">
            <w:pPr>
              <w:rPr>
                <w:rFonts w:ascii="Times New Roman" w:hAnsi="Times New Roman" w:cs="Times New Roman"/>
              </w:rPr>
            </w:pPr>
            <w:hyperlink r:id="rId18"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3122-24,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Liste des secteurs pour lesquels la durée maximale hebdomadaire de travail est fixée entre quarante et quarante-quatre heures</w:t>
            </w:r>
          </w:p>
        </w:tc>
        <w:tc>
          <w:tcPr>
            <w:tcW w:w="0" w:type="auto"/>
            <w:vAlign w:val="center"/>
            <w:hideMark/>
          </w:tcPr>
          <w:p w:rsidR="002F1172" w:rsidRPr="002F1172" w:rsidRDefault="00EE2272" w:rsidP="002F1172">
            <w:pPr>
              <w:rPr>
                <w:rFonts w:ascii="Times New Roman" w:hAnsi="Times New Roman" w:cs="Times New Roman"/>
              </w:rPr>
            </w:pPr>
            <w:hyperlink r:id="rId19"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3123-26,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à défaut de convention ou d’accord collectif, le salarié peut demander à bénéficier d’un poste à temps partiel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20"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3123-38,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Liste des secteurs où la nature de l’activité ne permet pas de fixer avec précision les périodes de travail et la répartition des heures de travail au sein de ces périodes</w:t>
            </w:r>
          </w:p>
        </w:tc>
        <w:tc>
          <w:tcPr>
            <w:tcW w:w="0" w:type="auto"/>
            <w:vAlign w:val="center"/>
            <w:hideMark/>
          </w:tcPr>
          <w:p w:rsidR="002F1172" w:rsidRPr="002F1172" w:rsidRDefault="00EE2272" w:rsidP="002F1172">
            <w:pPr>
              <w:rPr>
                <w:rFonts w:ascii="Times New Roman" w:hAnsi="Times New Roman" w:cs="Times New Roman"/>
              </w:rPr>
            </w:pPr>
            <w:hyperlink r:id="rId21"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3131-1,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il peut être dérogé, en cas d'urgence, au repos quotidien des salariés d’une durée minimale de onze heures consécutives</w:t>
            </w:r>
          </w:p>
        </w:tc>
        <w:tc>
          <w:tcPr>
            <w:tcW w:w="0" w:type="auto"/>
            <w:vAlign w:val="center"/>
            <w:hideMark/>
          </w:tcPr>
          <w:p w:rsidR="002F1172" w:rsidRPr="002F1172" w:rsidRDefault="00EE2272" w:rsidP="002F1172">
            <w:pPr>
              <w:rPr>
                <w:rFonts w:ascii="Times New Roman" w:hAnsi="Times New Roman" w:cs="Times New Roman"/>
              </w:rPr>
            </w:pPr>
            <w:hyperlink r:id="rId22"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3131-2,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Dérogations à la durée minimale de repos quotidien prévue à l’article L 3131-1, notamment pour des activités caractérisées par la nécessité d’assurer une continuité du service ou par des périodes d’intervention fractionnées</w:t>
            </w:r>
          </w:p>
        </w:tc>
        <w:tc>
          <w:tcPr>
            <w:tcW w:w="0" w:type="auto"/>
            <w:vAlign w:val="center"/>
            <w:hideMark/>
          </w:tcPr>
          <w:p w:rsidR="002F1172" w:rsidRPr="002F1172" w:rsidRDefault="00EE2272" w:rsidP="002F1172">
            <w:pPr>
              <w:rPr>
                <w:rFonts w:ascii="Times New Roman" w:hAnsi="Times New Roman" w:cs="Times New Roman"/>
              </w:rPr>
            </w:pPr>
            <w:hyperlink r:id="rId23"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3131-3,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Dérogations, en cas de surcroît exceptionnel d’activité, à la durée minimale de repos quotidien</w:t>
            </w:r>
          </w:p>
        </w:tc>
        <w:tc>
          <w:tcPr>
            <w:tcW w:w="0" w:type="auto"/>
            <w:vAlign w:val="center"/>
            <w:hideMark/>
          </w:tcPr>
          <w:p w:rsidR="002F1172" w:rsidRPr="002F1172" w:rsidRDefault="00EE2272" w:rsidP="002F1172">
            <w:pPr>
              <w:rPr>
                <w:rFonts w:ascii="Times New Roman" w:hAnsi="Times New Roman" w:cs="Times New Roman"/>
              </w:rPr>
            </w:pPr>
            <w:hyperlink r:id="rId24" w:history="1">
              <w:r w:rsidR="002F1172" w:rsidRPr="002F1172">
                <w:rPr>
                  <w:rStyle w:val="Lienhypertexte"/>
                  <w:rFonts w:ascii="Times New Roman" w:hAnsi="Times New Roman" w:cs="Times New Roman"/>
                </w:rPr>
                <w:t>Décret n° 2016-1553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 III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3141-11,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Début de la période de référence pour l’acquisition des congés</w:t>
            </w:r>
          </w:p>
        </w:tc>
        <w:tc>
          <w:tcPr>
            <w:tcW w:w="0" w:type="auto"/>
            <w:vAlign w:val="center"/>
            <w:hideMark/>
          </w:tcPr>
          <w:p w:rsidR="002F1172" w:rsidRPr="002F1172" w:rsidRDefault="00EE2272" w:rsidP="002F1172">
            <w:pPr>
              <w:rPr>
                <w:rFonts w:ascii="Times New Roman" w:hAnsi="Times New Roman" w:cs="Times New Roman"/>
              </w:rPr>
            </w:pPr>
            <w:hyperlink r:id="rId25" w:history="1">
              <w:r w:rsidR="002F1172" w:rsidRPr="002F1172">
                <w:rPr>
                  <w:rStyle w:val="Lienhypertexte"/>
                  <w:rFonts w:ascii="Times New Roman" w:hAnsi="Times New Roman" w:cs="Times New Roman"/>
                </w:rPr>
                <w:t>Décret n° 2016-1551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différend concernant les congés pour événements familiaux, le refus de l’employeur peut être directement contesté par le salarié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26"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lastRenderedPageBreak/>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3142-13,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différend concernant le congé de solidarité familiale, le refus de l’employeur peut être directement contesté par le salarié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27"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3142-15, 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de fractionnement du congé de solidarité familiale et de sa transformation en période d’activité à temps partiel du congé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28"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3142-15, 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Délais d’information de l’employeur par le salarié sur la prise du congé de solidarité familiale, sa durée prévisible, son renouvellement ainsi que les conditions du retour du salarié avant le terme prévu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29"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3142-24,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Critères d’appréciation de la particulière gravité du handicap ou de la perte d’autonomie de la personne aidée ouvrant droit au congé de proche aidant</w:t>
            </w:r>
          </w:p>
        </w:tc>
        <w:tc>
          <w:tcPr>
            <w:tcW w:w="0" w:type="auto"/>
            <w:vAlign w:val="center"/>
            <w:hideMark/>
          </w:tcPr>
          <w:p w:rsidR="002F1172" w:rsidRPr="002F1172" w:rsidRDefault="00EE2272" w:rsidP="002F1172">
            <w:pPr>
              <w:rPr>
                <w:rFonts w:ascii="Times New Roman" w:hAnsi="Times New Roman" w:cs="Times New Roman"/>
              </w:rPr>
            </w:pPr>
            <w:hyperlink r:id="rId30" w:history="1">
              <w:r w:rsidR="002F1172" w:rsidRPr="002F1172">
                <w:rPr>
                  <w:rStyle w:val="Lienhypertexte"/>
                  <w:rFonts w:ascii="Times New Roman" w:hAnsi="Times New Roman" w:cs="Times New Roman"/>
                </w:rPr>
                <w:t>Décret n° 2016-1554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3142-25,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différend, le refus de l’employeur concernant le congé de proche aidant peut être directement contesté par le salarié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31"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3142-27, 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Délais d’information de l’employeur par le salarié sur la prise du congé de proche aidant et son renouvellement, durée du préavis en cas de retour du salarié avant le terme prévu du congé, délais de demande du salarié et de réponse de l’employeur sur le fractionnement du congé ou sa transformation en période d’activité à temps partiel</w:t>
            </w:r>
          </w:p>
        </w:tc>
        <w:tc>
          <w:tcPr>
            <w:tcW w:w="0" w:type="auto"/>
            <w:vAlign w:val="center"/>
            <w:hideMark/>
          </w:tcPr>
          <w:p w:rsidR="002F1172" w:rsidRPr="002F1172" w:rsidRDefault="00EE2272" w:rsidP="002F1172">
            <w:pPr>
              <w:rPr>
                <w:rFonts w:ascii="Times New Roman" w:hAnsi="Times New Roman" w:cs="Times New Roman"/>
              </w:rPr>
            </w:pPr>
            <w:hyperlink r:id="rId32" w:history="1">
              <w:r w:rsidR="002F1172" w:rsidRPr="002F1172">
                <w:rPr>
                  <w:rStyle w:val="Lienhypertexte"/>
                  <w:rFonts w:ascii="Times New Roman" w:hAnsi="Times New Roman" w:cs="Times New Roman"/>
                </w:rPr>
                <w:t>Décret n° 2016-1554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3142-34, 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et délais de prévenance pour le congé sabbatique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33"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3142-34, 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Plafonds en termes de nombre de jours de congé sabbatique ou de proportion de salariés en congés sabbatique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34"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3142-38,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l’employeur peut différer le congé mutualiste de formation en raison des nécessités propres de l’entreprise ou de son exploitation</w:t>
            </w:r>
          </w:p>
        </w:tc>
        <w:tc>
          <w:tcPr>
            <w:tcW w:w="0" w:type="auto"/>
            <w:vAlign w:val="center"/>
            <w:hideMark/>
          </w:tcPr>
          <w:p w:rsidR="002F1172" w:rsidRPr="002F1172" w:rsidRDefault="00EE2272" w:rsidP="002F1172">
            <w:pPr>
              <w:rPr>
                <w:rFonts w:ascii="Times New Roman" w:hAnsi="Times New Roman" w:cs="Times New Roman"/>
              </w:rPr>
            </w:pPr>
            <w:hyperlink r:id="rId35"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lastRenderedPageBreak/>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3142-39,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différend, le refus de l’employeur concernant le congé mutualiste de formation peut être directement contesté par le salarié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36"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3142-41, 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Délai dans lequel le salarié informe l’employeur de sa demande de prendre le congé mutualiste de formation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37"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3142-41, 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Règles selon lesquelles est déterminé, par établissement, le nombre maximal de salariés susceptibles de bénéficier du congé mutualiste de formation au cours d’une année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38"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3142-44,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les dépenses afférentes au maintien du salaire et au remboursement des frais de déplacement sont supportées par les instances et jurys d'examen ou de VAE, ou par l’entreprise</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3142-45,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différend concernant le congé de participation aux instances d'emploi et de formation professionnelle ou à un jury d'examen, le refus de l’employeur peut être directement contesté par le salarié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39"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3142-47,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Délais dans lesquels le salarié adresse sa demande de congé de participation aux instances d'emploi et de formation professionnelle ou à un jury d'examen</w:t>
            </w:r>
          </w:p>
        </w:tc>
        <w:tc>
          <w:tcPr>
            <w:tcW w:w="0" w:type="auto"/>
            <w:vAlign w:val="center"/>
            <w:hideMark/>
          </w:tcPr>
          <w:p w:rsidR="002F1172" w:rsidRPr="002F1172" w:rsidRDefault="00EE2272" w:rsidP="002F1172">
            <w:pPr>
              <w:rPr>
                <w:rFonts w:ascii="Times New Roman" w:hAnsi="Times New Roman" w:cs="Times New Roman"/>
              </w:rPr>
            </w:pPr>
            <w:hyperlink r:id="rId40"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3142-51,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 refus de l'employeur concernant le congé pour catastrophe naturelle peut être directement contesté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41"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3142-53, 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Délais dans lesquels le salarié adresse sa demande de congé pour catastrophe naturelle</w:t>
            </w:r>
          </w:p>
        </w:tc>
        <w:tc>
          <w:tcPr>
            <w:tcW w:w="0" w:type="auto"/>
            <w:vAlign w:val="center"/>
            <w:hideMark/>
          </w:tcPr>
          <w:p w:rsidR="002F1172" w:rsidRPr="002F1172" w:rsidRDefault="00EE2272" w:rsidP="002F1172">
            <w:pPr>
              <w:rPr>
                <w:rFonts w:ascii="Times New Roman" w:hAnsi="Times New Roman" w:cs="Times New Roman"/>
              </w:rPr>
            </w:pPr>
            <w:hyperlink r:id="rId42"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3142-56,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l’employeur peut différer le congé de formation de cadres et d'animateurs pour la jeunesse en raison des nécessités propres de son entreprise ou de son exploitation</w:t>
            </w:r>
          </w:p>
        </w:tc>
        <w:tc>
          <w:tcPr>
            <w:tcW w:w="0" w:type="auto"/>
            <w:vAlign w:val="center"/>
            <w:hideMark/>
          </w:tcPr>
          <w:p w:rsidR="002F1172" w:rsidRPr="002F1172" w:rsidRDefault="00EE2272" w:rsidP="002F1172">
            <w:pPr>
              <w:rPr>
                <w:rFonts w:ascii="Times New Roman" w:hAnsi="Times New Roman" w:cs="Times New Roman"/>
              </w:rPr>
            </w:pPr>
            <w:hyperlink r:id="rId43"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3142-57,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différend concernant le congé de formation de cadres et d'animateurs pour la jeunesse, le refus de l’employeur peut être directement contesté par le salarié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44"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3142-59, 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Délai dans lequel le salarié adresse sa demande de congé de formation de cadres et d’animateurs pour la jeunesse à l’employeur</w:t>
            </w:r>
          </w:p>
        </w:tc>
        <w:tc>
          <w:tcPr>
            <w:tcW w:w="0" w:type="auto"/>
            <w:vAlign w:val="center"/>
            <w:hideMark/>
          </w:tcPr>
          <w:p w:rsidR="002F1172" w:rsidRPr="002F1172" w:rsidRDefault="00EE2272" w:rsidP="002F1172">
            <w:pPr>
              <w:rPr>
                <w:rFonts w:ascii="Times New Roman" w:hAnsi="Times New Roman" w:cs="Times New Roman"/>
              </w:rPr>
            </w:pPr>
            <w:hyperlink r:id="rId45"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3142-59, 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Règles supplétives selon lesquelles est déterminé, par établissement, le nombre maximal de salariés susceptibles de bénéficier du congé de formation de cadres et d'animateurs pour la jeunesse</w:t>
            </w:r>
          </w:p>
        </w:tc>
        <w:tc>
          <w:tcPr>
            <w:tcW w:w="0" w:type="auto"/>
            <w:vAlign w:val="center"/>
            <w:hideMark/>
          </w:tcPr>
          <w:p w:rsidR="002F1172" w:rsidRPr="002F1172" w:rsidRDefault="00EE2272" w:rsidP="002F1172">
            <w:pPr>
              <w:rPr>
                <w:rFonts w:ascii="Times New Roman" w:hAnsi="Times New Roman" w:cs="Times New Roman"/>
              </w:rPr>
            </w:pPr>
            <w:hyperlink r:id="rId46"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3142-63,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différend concernant le congé de représentation, le refus de congé peut être directement contesté par le salarié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47"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3142-64,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d’application du congé de représentation, notamment conditions d’indemnisation du salarié par l’État</w:t>
            </w:r>
          </w:p>
        </w:tc>
        <w:tc>
          <w:tcPr>
            <w:tcW w:w="0" w:type="auto"/>
            <w:vAlign w:val="center"/>
            <w:hideMark/>
          </w:tcPr>
          <w:p w:rsidR="002F1172" w:rsidRPr="002F1172" w:rsidRDefault="00EE2272" w:rsidP="002F1172">
            <w:pPr>
              <w:rPr>
                <w:rFonts w:ascii="Times New Roman" w:hAnsi="Times New Roman" w:cs="Times New Roman"/>
              </w:rPr>
            </w:pPr>
            <w:hyperlink r:id="rId48"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3142-66, 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Le délai dans lequel le salarié adresse sa demande de congé de représentation à l’employeur et les règles selon lesquelles est déterminé, par établissement, le nombre maximal de salariés susceptibles de bénéficier du congé au cours d’une année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49"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3142-69,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différend concernant le congé de solidarité internationale, le refus de congé peut être directement contesté par le salarié devant le conseil de prud’hommes, statuant en la forme des référés, dans des conditions fixées par décret en Conseil d’État</w:t>
            </w:r>
          </w:p>
        </w:tc>
        <w:tc>
          <w:tcPr>
            <w:tcW w:w="0" w:type="auto"/>
            <w:vAlign w:val="center"/>
            <w:hideMark/>
          </w:tcPr>
          <w:p w:rsidR="002F1172" w:rsidRPr="002F1172" w:rsidRDefault="00EE2272" w:rsidP="002F1172">
            <w:pPr>
              <w:rPr>
                <w:rFonts w:ascii="Times New Roman" w:hAnsi="Times New Roman" w:cs="Times New Roman"/>
              </w:rPr>
            </w:pPr>
            <w:hyperlink r:id="rId50"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3142-69,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à défaut de réponse de l’employeur concernant le congé de solidarité internationale dans un délai fixé, son accord est réputé acquis</w:t>
            </w:r>
          </w:p>
        </w:tc>
        <w:tc>
          <w:tcPr>
            <w:tcW w:w="0" w:type="auto"/>
            <w:vAlign w:val="center"/>
            <w:hideMark/>
          </w:tcPr>
          <w:p w:rsidR="002F1172" w:rsidRPr="002F1172" w:rsidRDefault="00EE2272" w:rsidP="002F1172">
            <w:pPr>
              <w:rPr>
                <w:rFonts w:ascii="Times New Roman" w:hAnsi="Times New Roman" w:cs="Times New Roman"/>
              </w:rPr>
            </w:pPr>
            <w:hyperlink r:id="rId51"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 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3142-74, 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Règles selon lesquelles est déterminée, en fonction de l’effectif de l’établissement, le nombre maximal de salariés susceptibles de bénéficier simultanément du congé de solidarité internationale et les délais mentionnés au 4° de l’article L. 3142-64 dans lesquels le salarié adresse sa demande de congé à son employeur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52"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3142-76,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en cas de différend concernant le congé pour acquisition de la nationalité, le refus de l’employeur peut être directement contesté par le salarié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53"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3142-113, 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 refus de l'employeur concernant le congé pour création d'entreprise peut être contesté par le salarié directement devant le conseil de prud’hommes, statuant en la forme des référés</w:t>
            </w:r>
          </w:p>
        </w:tc>
        <w:tc>
          <w:tcPr>
            <w:tcW w:w="0" w:type="auto"/>
            <w:vAlign w:val="center"/>
            <w:hideMark/>
          </w:tcPr>
          <w:p w:rsidR="002F1172" w:rsidRPr="002F1172" w:rsidRDefault="00EE2272" w:rsidP="002F1172">
            <w:pPr>
              <w:rPr>
                <w:rFonts w:ascii="Times New Roman" w:hAnsi="Times New Roman" w:cs="Times New Roman"/>
              </w:rPr>
            </w:pPr>
            <w:hyperlink r:id="rId54" w:history="1">
              <w:r w:rsidR="002F1172" w:rsidRPr="002F1172">
                <w:rPr>
                  <w:rStyle w:val="Lienhypertexte"/>
                  <w:rFonts w:ascii="Times New Roman" w:hAnsi="Times New Roman" w:cs="Times New Roman"/>
                </w:rPr>
                <w:t>Décret n° 2016-1552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3142-116,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 défaut de réponse de l'employeur concernant le congé de création d'entreprise sur la date de départ choisie par l'intéressé vaut acceptation</w:t>
            </w:r>
          </w:p>
        </w:tc>
        <w:tc>
          <w:tcPr>
            <w:tcW w:w="0" w:type="auto"/>
            <w:vAlign w:val="center"/>
            <w:hideMark/>
          </w:tcPr>
          <w:p w:rsidR="002F1172" w:rsidRPr="002F1172" w:rsidRDefault="00EE2272" w:rsidP="002F1172">
            <w:pPr>
              <w:rPr>
                <w:rFonts w:ascii="Times New Roman" w:hAnsi="Times New Roman" w:cs="Times New Roman"/>
              </w:rPr>
            </w:pPr>
            <w:hyperlink r:id="rId55"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3142-119, 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Les conditions et délais de prévenance concernant le congé pour création d'entreprise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56"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3142-119, 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Niveau de salariés absents au titre du congé pour création d'entreprise ou de jours d’absence prévus au titre de ce congé au titre duquel l’employeur peut différer le départ en congé ou le début de la période de travail à temps partiel (dispositions supplétives)</w:t>
            </w:r>
          </w:p>
        </w:tc>
        <w:tc>
          <w:tcPr>
            <w:tcW w:w="0" w:type="auto"/>
            <w:vAlign w:val="center"/>
            <w:hideMark/>
          </w:tcPr>
          <w:p w:rsidR="002F1172" w:rsidRPr="002F1172" w:rsidRDefault="00EE2272" w:rsidP="002F1172">
            <w:pPr>
              <w:rPr>
                <w:rFonts w:ascii="Times New Roman" w:hAnsi="Times New Roman" w:cs="Times New Roman"/>
              </w:rPr>
            </w:pPr>
            <w:hyperlink r:id="rId57" w:history="1">
              <w:r w:rsidR="002F1172" w:rsidRPr="002F1172">
                <w:rPr>
                  <w:rStyle w:val="Lienhypertexte"/>
                  <w:rFonts w:ascii="Times New Roman" w:hAnsi="Times New Roman" w:cs="Times New Roman"/>
                </w:rPr>
                <w:t>Décret n° 2016-1555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11, 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3153-1,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Dispositif de garantie du compte épargne temps applicable en l'absence de convention ou accord collectif (dispositions supplétives)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Les dispositions réglementaires existent déjà : décret n° 2009-1184 du 5/10/2009.</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11, 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3153-2, 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de déblocage des droits du compte épargne temps au profit du salarié bénéficiaire ou de ses ayants droit (dispositions supplétives)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Les dispositions réglementaires existent déjà : décret n° 2009-1184 du 5/10/2009.</w:t>
            </w:r>
          </w:p>
        </w:tc>
      </w:tr>
      <w:tr w:rsidR="002F1172" w:rsidRPr="002F1172" w:rsidTr="002F1172">
        <w:trPr>
          <w:tblCellSpacing w:w="15" w:type="dxa"/>
        </w:trPr>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16, II, 1°, b </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2231-5-1, code du travail</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de publication des conventions et accords de branches, de groupe, interentreprises, d'entreprise et d'établissement; anonymisation</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janvier 2017 (la mesure s'applique aux accords conclus après le 1er septembre 2017)</w:t>
            </w:r>
          </w:p>
        </w:tc>
      </w:tr>
      <w:tr w:rsidR="002F1172" w:rsidRPr="002F1172" w:rsidTr="002F1172">
        <w:trPr>
          <w:tblCellSpacing w:w="15" w:type="dxa"/>
        </w:trPr>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16, II, 1°, b</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2231-5-1, code du travail</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de publication des conventions et accords de branches, de groupe, interentreprises, d'entreprise et d'établissement</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janvier 2017</w:t>
            </w:r>
          </w:p>
        </w:tc>
      </w:tr>
      <w:tr w:rsidR="002F1172" w:rsidRPr="002F1172" w:rsidTr="002F1172">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18, XI, 1°</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2323-26-1, code du travail</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 seuil de trois cents salariés retenu pour définir les attributions du comité d'entreprise est réputé franchi lorsque l’effectif de l’entreprise dépasse ce seuil pendant douze mois</w:t>
            </w:r>
          </w:p>
        </w:tc>
        <w:tc>
          <w:tcPr>
            <w:tcW w:w="0" w:type="auto"/>
            <w:shd w:val="clear" w:color="auto" w:fill="FFF2CC" w:themeFill="accent4" w:themeFillTint="33"/>
            <w:vAlign w:val="center"/>
            <w:hideMark/>
          </w:tcPr>
          <w:p w:rsidR="002F1172" w:rsidRPr="002F1172" w:rsidRDefault="00EE2272" w:rsidP="002F1172">
            <w:pPr>
              <w:rPr>
                <w:rFonts w:ascii="Times New Roman" w:hAnsi="Times New Roman" w:cs="Times New Roman"/>
              </w:rPr>
            </w:pPr>
            <w:hyperlink r:id="rId58" w:history="1">
              <w:r w:rsidR="002F1172" w:rsidRPr="002F1172">
                <w:rPr>
                  <w:rStyle w:val="Lienhypertexte"/>
                  <w:rFonts w:ascii="Times New Roman" w:hAnsi="Times New Roman" w:cs="Times New Roman"/>
                </w:rPr>
                <w:t>Décret n° 2016-1437 du 25/10/2016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18, XIV, 2°</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4616-3, 2°, code du travail</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Délais dans lesquels à défaut d’accord, sont rendus l’avis de chaque comité d’hygiène, de sécurité et des conditions de travail est rendu et transmis à l’instance de coordination des comités d’hygiène, de sécurité et des conditions de travail et l’avis de cette dernière</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Décret déjà adopté: décret n° 2016-868 du 29/06/2016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19</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1145-1,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relatives au Conseil supérieur de l'égalité professionnelle entre les femmes et les hommes</w:t>
            </w:r>
          </w:p>
        </w:tc>
        <w:tc>
          <w:tcPr>
            <w:tcW w:w="0" w:type="auto"/>
            <w:vAlign w:val="center"/>
            <w:hideMark/>
          </w:tcPr>
          <w:p w:rsidR="002F1172" w:rsidRPr="002F1172" w:rsidRDefault="00EE2272" w:rsidP="002F1172">
            <w:pPr>
              <w:rPr>
                <w:rFonts w:ascii="Times New Roman" w:hAnsi="Times New Roman" w:cs="Times New Roman"/>
              </w:rPr>
            </w:pPr>
            <w:hyperlink r:id="rId59" w:history="1">
              <w:r w:rsidR="002F1172" w:rsidRPr="002F1172">
                <w:rPr>
                  <w:rStyle w:val="Lienhypertexte"/>
                  <w:rFonts w:ascii="Times New Roman" w:hAnsi="Times New Roman" w:cs="Times New Roman"/>
                </w:rPr>
                <w:t>Décret n° 2008-244 du 7/03/2008, cf. articles D1145-1 à D1145-19 du code du travail</w:t>
              </w:r>
            </w:hyperlink>
            <w:r w:rsidR="002F1172" w:rsidRPr="002F1172">
              <w:rPr>
                <w:rFonts w:ascii="Times New Roman" w:hAnsi="Times New Roman" w:cs="Times New Roman"/>
              </w:rPr>
              <w:t xml:space="preserve"> </w:t>
            </w:r>
          </w:p>
        </w:tc>
      </w:tr>
      <w:tr w:rsidR="002F1172" w:rsidRPr="002F1172" w:rsidTr="003C415F">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 xml:space="preserve">Article 21, I, 1°, b </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Article L 2232-12, code du travail</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 xml:space="preserve">Conditions de la consultation des salariés ("référendum") à l'initiative des syndicats signataires d'un accord et représentant plus de 30% mais moins de 50% des salariés </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Publication envisagée en octobre 2016</w:t>
            </w:r>
          </w:p>
        </w:tc>
      </w:tr>
      <w:tr w:rsidR="002F1172" w:rsidRPr="002F1172" w:rsidTr="002F1172">
        <w:trPr>
          <w:tblCellSpacing w:w="15" w:type="dxa"/>
        </w:trPr>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22, I </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2254-2, II, code du travail</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Définition des délais de réponse du salarié à la proposition d'accompagnement personnalisé, ainsi que les conditions dans lesquels le salarié adhère au parcours</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22, I </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2254-2, III, code du travail, b</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Définition de la rémunération mensuelle du salarié qui ne peut être diminuée par l'effet de l'accord offensif et détermination des modalités par lesquelles les salariés sont informés et font connaître leur refus, le cas échéant, de voir appliquer l’accord offensif à leur contrat de travail</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22, I</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2254-3, code du travail</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Modalités du parcours d’accompagnement personnalisé pour les salariés licenciés pour avoir refusé l'application de l'accord offensif </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22, I</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2254-3, code du travail</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l’accompagnement personnalisé est assuré par Pôle emploi</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22, I</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2254-4, code du travail</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Montant de l'allocation due au titre de l'accompagnement personnalisé des personnes licenciées pour avoir refusé l'application de l'accord offensif et conditions d’imputation de la durée d’exécution de l’accompagnement personnalisé sur la durée de versement de l’allocation d’assurance chômage </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22, I</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2254-5, code du travail</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d’exigibilité de la contribution due par l'employeur, lorsqu'il propose le dispositif d'accompagnement au salarié </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22, I</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2254-6, code du travail</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d’exigibilité de la contribution due par l'employeur lorsqu'il omet de proposer le dispositif d'accompagnement au salarié </w:t>
            </w:r>
          </w:p>
        </w:tc>
        <w:tc>
          <w:tcPr>
            <w:tcW w:w="0" w:type="auto"/>
            <w:shd w:val="clear" w:color="auto" w:fill="E2EFD9" w:themeFill="accent6"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24, II</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2232-9 code du travail, II, 3°</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dans lesquelles des conventions et accords d’entreprises de la troisième partie du code sont transmis </w:t>
            </w:r>
            <w:proofErr w:type="gramStart"/>
            <w:r w:rsidRPr="002F1172">
              <w:rPr>
                <w:rFonts w:ascii="Times New Roman" w:hAnsi="Times New Roman" w:cs="Times New Roman"/>
              </w:rPr>
              <w:t>aux commissions paritaires permanente</w:t>
            </w:r>
            <w:proofErr w:type="gramEnd"/>
            <w:r w:rsidRPr="002F1172">
              <w:rPr>
                <w:rFonts w:ascii="Times New Roman" w:hAnsi="Times New Roman" w:cs="Times New Roman"/>
              </w:rPr>
              <w:t xml:space="preserve"> de négociation et d’interprétation de branches</w:t>
            </w:r>
          </w:p>
        </w:tc>
        <w:tc>
          <w:tcPr>
            <w:tcW w:w="0" w:type="auto"/>
            <w:shd w:val="clear" w:color="auto" w:fill="BDD6EE" w:themeFill="accent1" w:themeFillTint="66"/>
            <w:vAlign w:val="center"/>
            <w:hideMark/>
          </w:tcPr>
          <w:p w:rsidR="002F1172" w:rsidRPr="002F1172" w:rsidRDefault="00EE2272" w:rsidP="002F1172">
            <w:pPr>
              <w:rPr>
                <w:rFonts w:ascii="Times New Roman" w:hAnsi="Times New Roman" w:cs="Times New Roman"/>
              </w:rPr>
            </w:pPr>
            <w:hyperlink r:id="rId60" w:history="1">
              <w:r w:rsidR="002F1172" w:rsidRPr="002F1172">
                <w:rPr>
                  <w:rStyle w:val="Lienhypertexte"/>
                  <w:rFonts w:ascii="Times New Roman" w:hAnsi="Times New Roman" w:cs="Times New Roman"/>
                </w:rPr>
                <w:t>Décret n° 2016-1556 du 18/11/2016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25, I, 1° </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2261-32, code du travail, I, 5°</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Détermination du délai dans lequel les organisations et personnes intéressées font connaître leurs observations sur le projet de fusion des branches professionnelles </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25, I, 1° </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2261-32, code du travail, I, 5°</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Modalités et délais selon lesquels le ministre consulte à nouveau la CNNC lorsque deux organisations professionnelles d’employeurs ou deux organisations syndicales de salariés ont proposé une autre branche de rattachement pour la fusion </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25, I, 1°</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2261-32, code du travail, II</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Détermination du délai dans lequel les organisations et personnes intéressées font connaître leurs observations sur le projet d'élargissement du champ de la convention collective</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25, I, 1° </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2261-32, code du travail, II</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Modalités et délais selon lesquels le ministre consulte à nouveau la CNNC lorsque deux organisations professionnelles d’employeurs ou deux organisations syndicales de salariés ont proposé un élargissement alternatif du champ de la convention collective </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25, I, 1°</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2261-32, code du travail, V</w:t>
            </w:r>
          </w:p>
        </w:tc>
        <w:tc>
          <w:tcPr>
            <w:tcW w:w="0" w:type="auto"/>
            <w:shd w:val="clear" w:color="auto" w:fill="BDD6EE" w:themeFill="accent1" w:themeFillTint="66"/>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d'application de la procédure de fusion des branches (renvoi balai)</w:t>
            </w:r>
          </w:p>
        </w:tc>
        <w:tc>
          <w:tcPr>
            <w:tcW w:w="0" w:type="auto"/>
            <w:shd w:val="clear" w:color="auto" w:fill="BDD6EE" w:themeFill="accent1" w:themeFillTint="66"/>
            <w:vAlign w:val="center"/>
            <w:hideMark/>
          </w:tcPr>
          <w:p w:rsidR="002F1172" w:rsidRPr="002F1172" w:rsidRDefault="00EE2272" w:rsidP="002F1172">
            <w:pPr>
              <w:rPr>
                <w:rFonts w:ascii="Times New Roman" w:hAnsi="Times New Roman" w:cs="Times New Roman"/>
              </w:rPr>
            </w:pPr>
            <w:hyperlink r:id="rId61" w:history="1">
              <w:r w:rsidR="002F1172" w:rsidRPr="002F1172">
                <w:rPr>
                  <w:rStyle w:val="Lienhypertexte"/>
                  <w:rFonts w:ascii="Times New Roman" w:hAnsi="Times New Roman" w:cs="Times New Roman"/>
                </w:rPr>
                <w:t>Décret n° 2016-1540 du 15/11/2016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28, II </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2142-1-3 et 7 autres, code du travail</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lorsque le crédit d’heures ou la fraction du crédit d’heures restant est inférieur à quatre heures, le représentant du personnel en bénéficie</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31, I </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4614-13, code du travail</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Délai du recours en cassation sur </w:t>
            </w:r>
            <w:proofErr w:type="gramStart"/>
            <w:r w:rsidRPr="002F1172">
              <w:rPr>
                <w:rFonts w:ascii="Times New Roman" w:hAnsi="Times New Roman" w:cs="Times New Roman"/>
              </w:rPr>
              <w:t>la décisions</w:t>
            </w:r>
            <w:proofErr w:type="gramEnd"/>
            <w:r w:rsidRPr="002F1172">
              <w:rPr>
                <w:rFonts w:ascii="Times New Roman" w:hAnsi="Times New Roman" w:cs="Times New Roman"/>
              </w:rPr>
              <w:t xml:space="preserve"> du CHSCT à l'expertise CHSCT </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33, 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2212-I,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d'application de la formation des acteurs de la négociation collective dispensée par les centres, instituts ou organismes de formation</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39, 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5151-6, III,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d'utilisation des données à caractère personnel afférentes au compte personnel de formation et au compte personnel de prévention de la pénibilité, pour fournir les services de la plateforme de services en ligne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39, 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5151-9, 6°, b,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notamment de durée, dans lesquelles le bénévole siège dans l’organe d’administration ou de direction de l’association ou participe à l’encadrement d’autres bénévoles, pour pouvoir ouvrir droit à l'attribution de points au titre du compte engagement citoyen</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39, 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5151-9, 7°,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Modalités d'application concernant l'attribution de points au titre du compte engagement citoyen en cas de bénévolat associatif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39, 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5151-10,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Durée minimale d'activité nécessaire à l’acquisition de vingt heures inscrites sur le compte personnel de formation, pour chacune des activités bénévoles ou de volontariat définies par la loi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39, II, 4°, a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6323-6, I,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Définition du socle de connaissances et de compétences dont les formations destinées à l'acquérir sont éligibles au compte personnel de formation</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Les mesures réglementaires existent déjà et ne nécessitent pas de modifications : décret n° 2015-172 du 13/02/2015.</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39, II, 4°, b</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6323-6, III,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dans lesquelles l'accompagnement à la VAE, les actions de formation permettant de réaliser un bilan de compétences ou les actions destinées aux créateurs d'entreprise sont éligibles au compte personnel de formation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39, II, 4°, b</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6323-6, III, 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les actions de formation destinées aux bénévoles et volontaires en service civique sont éligibles au compte personnel de formation</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Mesure non nécessaire</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39, II, 12°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6323-20-1,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Taux de la cotisation versée par les personnes publiques employant des salariés de droit privé mobilisant son CPF dont la prise en charge des frais est effectuée par le CNFPT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39, II, 14°</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6323-32,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Modalités de prise en charge des frais pédagogiques et frais annexes afférents à la formation du travailleur indépendant, du membre d’une profession libérale ou d’une profession non salariée, du conjoint collaborateur ou de l’artiste auteur qui mobilise son compte personnel de formation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39, III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6332-22, code du travail, 1°, c</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Part des fonds affectés aux contrats de professionnalisation (taux)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Dispositions déclarées non conformes à la Constitution par la décision du Conseil constitutionnel n° 2016-736 DC du 4 août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39, IV, 2°</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6111-6,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selon lesquelles les institutions, organismes et opérateurs assurent l’information directe des personnes sur les modalités d’accès au conseil en évolution professionnelle et son contenu</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La mesure sera appliquée par arrêté.</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40, 1°, a</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6321-1,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Définition du socle de connaissances et de compétences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Les mesures réglementaires existent déjà et ne nécessitent pas de modifications : décret n° 2015-172 du 13/02/2015.</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41, 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6331-48, 2°, b,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de mise en œuvre de la contribution due par les travailleurs indépendants au titre du financement des actions de formation</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41, I, 4°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6331-51,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Reversement des contributions aux fonds d'assurance formation de </w:t>
            </w:r>
            <w:proofErr w:type="spellStart"/>
            <w:r w:rsidRPr="002F1172">
              <w:rPr>
                <w:rFonts w:ascii="Times New Roman" w:hAnsi="Times New Roman" w:cs="Times New Roman"/>
              </w:rPr>
              <w:t>non salariés</w:t>
            </w:r>
            <w:proofErr w:type="spellEnd"/>
            <w:r w:rsidRPr="002F1172">
              <w:rPr>
                <w:rFonts w:ascii="Times New Roman" w:hAnsi="Times New Roman" w:cs="Times New Roman"/>
              </w:rPr>
              <w:t xml:space="preserve"> par les organismes collecteurs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43, I, 2°</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6323-36,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Partie forfaitaire de la rémunération garantie versée aux travailleurs handicapés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46 I, 6°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5131-6,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de ressources pour bénéficier de la garantie jeunes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46, I, 6°</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5131-6,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Plafond de ressources pour bénéficier de la garantie jeunes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46, I, 7°</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5131-7,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Modalités du parcours contractualisé d’accompagnement vers l’emploi et l’autonomie et nature des engagements de chaque partie au contrat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49, I, 4°</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324-4, code du travail applicable à Mayotte</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Garantie jeunes à Mayotte : montant et modalités de versements de l'allocation dégressive en fonction des ressources d’activité du jeune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49, I, 4°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324-4, code du travail applicable à Mayotte</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Garantie jeunes à Mayotte : plafond de ressources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49, I, 4°</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324-5, code du travail applicable à Mayotte</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Modalités d'application à Mayotte du parcours contractualisé d'accompagnement vers l'emploi et l'autonomie, des allocations versées aux jeunes accompagnés, etc.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50</w:t>
            </w:r>
          </w:p>
        </w:tc>
        <w:tc>
          <w:tcPr>
            <w:tcW w:w="0" w:type="auto"/>
            <w:vAlign w:val="center"/>
            <w:hideMark/>
          </w:tcPr>
          <w:p w:rsidR="002F1172" w:rsidRPr="002F1172" w:rsidRDefault="002F1172" w:rsidP="002F1172">
            <w:pPr>
              <w:rPr>
                <w:rFonts w:ascii="Times New Roman" w:hAnsi="Times New Roman" w:cs="Times New Roman"/>
              </w:rPr>
            </w:pP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et modalités d’attribution de l'aide à la recherche du premier emploi et liste des diplômes à finalité professionnelle ouvrant droit à l’aide</w:t>
            </w:r>
          </w:p>
        </w:tc>
        <w:tc>
          <w:tcPr>
            <w:tcW w:w="0" w:type="auto"/>
            <w:vAlign w:val="center"/>
            <w:hideMark/>
          </w:tcPr>
          <w:p w:rsidR="002F1172" w:rsidRPr="002F1172" w:rsidRDefault="00EE2272" w:rsidP="002F1172">
            <w:pPr>
              <w:rPr>
                <w:rFonts w:ascii="Times New Roman" w:hAnsi="Times New Roman" w:cs="Times New Roman"/>
              </w:rPr>
            </w:pPr>
            <w:hyperlink r:id="rId62" w:history="1">
              <w:r w:rsidR="002F1172" w:rsidRPr="002F1172">
                <w:rPr>
                  <w:rStyle w:val="Lienhypertexte"/>
                  <w:rFonts w:ascii="Times New Roman" w:hAnsi="Times New Roman" w:cs="Times New Roman"/>
                </w:rPr>
                <w:t>Décret n° 2016-1089 du 8/08/2016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52 II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5213-2-1,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de mise en œuvre du dispositif d’emploi accompagné en faveur des travailleurs handicapés, de contractualisation entre le salarié, l’employeur et le prestataire chargé du dispositif et définition des financements pouvant être mobilisés dans ce cadre</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54, I, 2°</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3243-2,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Durée minimale durant laquelle doit être garantie la disponibilité du bulletin de paie sous forme électronique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54, I, 2°</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3243-2,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Modalités selon lesquelles est garantie l'accessibilité du bulletin de paie sous forme électronique afin de préserver la confidentialité des données (via le CPA)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56 II</w:t>
            </w:r>
          </w:p>
        </w:tc>
        <w:tc>
          <w:tcPr>
            <w:tcW w:w="0" w:type="auto"/>
            <w:vAlign w:val="center"/>
            <w:hideMark/>
          </w:tcPr>
          <w:p w:rsidR="002F1172" w:rsidRPr="002F1172" w:rsidRDefault="002F1172" w:rsidP="002F1172">
            <w:pPr>
              <w:rPr>
                <w:rFonts w:ascii="Times New Roman" w:hAnsi="Times New Roman" w:cs="Times New Roman"/>
              </w:rPr>
            </w:pP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Entrée en vigueur de l'article 56</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éventuelle en août 2019</w:t>
            </w:r>
          </w:p>
        </w:tc>
      </w:tr>
      <w:tr w:rsidR="002F1172" w:rsidRPr="002F1172" w:rsidTr="003C415F">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 xml:space="preserve">Article 58, II, 1°, b </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Article L 2314-21, code du travail</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Modalités du vote électronique pour l'élection des délégués du personnel</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Publication envisagée en novembre 2016</w:t>
            </w:r>
          </w:p>
        </w:tc>
      </w:tr>
      <w:tr w:rsidR="002F1172" w:rsidRPr="002F1172" w:rsidTr="003C415F">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Article 58, II, 1°, b</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Article L 2314-21, code du travail</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Modalités du vote électronique pour l'élection du comité d'entreprise</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color w:val="FF0000"/>
              </w:rPr>
            </w:pPr>
            <w:r w:rsidRPr="002F1172">
              <w:rPr>
                <w:rFonts w:ascii="Times New Roman" w:hAnsi="Times New Roman" w:cs="Times New Roman"/>
                <w:color w:val="FF0000"/>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60, 2°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7342-2,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Prise en charge de la cotisation par la plateforme: plafond</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60, 2°</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7342-3,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la plateforme de services en ligne prend en charge les frais d’accompagnement à la VAE et verse une indemnité au travailleur</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60, 2°</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7342-4,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Seuil minimal de chiffre d'affaire réalisé sur la plateforme pour ouvrir droit à la prise en charge de la cotisation AT-MP et de la contribution à la formation professionnelle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64, I, 2°</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Caractéristiques de l'instance de dialogue social </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64, I, 2°</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d’application du I, notamment le délai dans lequel le franchiseur engage la négociation visant à la mise en place de l'instance de dialogue pour les réseaux de franchises </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65, III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39 </w:t>
            </w:r>
            <w:proofErr w:type="spellStart"/>
            <w:r w:rsidRPr="002F1172">
              <w:rPr>
                <w:rFonts w:ascii="Times New Roman" w:hAnsi="Times New Roman" w:cs="Times New Roman"/>
              </w:rPr>
              <w:t>octies</w:t>
            </w:r>
            <w:proofErr w:type="spellEnd"/>
            <w:r w:rsidRPr="002F1172">
              <w:rPr>
                <w:rFonts w:ascii="Times New Roman" w:hAnsi="Times New Roman" w:cs="Times New Roman"/>
              </w:rPr>
              <w:t xml:space="preserve"> G, code général des impôts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d’application du droit à déduction fiscale pour le règlement d'éventuelles indemnités de licenciement</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Dispositions déclarées non conformes à la Constitution par la décision du Conseil constitutionnel n° 2016-736 DC du 4 août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71, 4°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6332-16,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Critères permettant la prise en charge par les organismes paritaires collecteurs agréés des dépenses de fonctionnement des établissements d'enseignement privés du second degré qui concourent à l'insertion des jeunes sans qualification</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73, 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6227-3,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Clauses des conventions d'apprentissage dans le secteur public non industriel et commercial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73, 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6227-7,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Salaire de l'apprenti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73, 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6227-12,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Modalités relatives au développement de l'apprentissage dans le secteur public non industriel et commercial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81, 3°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6350-10,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dans lesquelles les organismes de formation informent les organismes financeurs de la formation suivie par les bénéficiaires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81, 3°</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6350-10,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les organismes financeurs, la CDC et les institutions et organismes chargés du conseil en évolution professionnelle partagent sous forme dématérialisée des données sur les formations suivies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88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1253-24,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Nature des aides publiques en matière d'emploi et de formation professionnelle auxquelles les groupements d'employeur sont éligibles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89, I</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1253-3, code du travail</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Groupement d'employeurs : application </w:t>
            </w:r>
            <w:proofErr w:type="gramStart"/>
            <w:r w:rsidRPr="002F1172">
              <w:rPr>
                <w:rFonts w:ascii="Times New Roman" w:hAnsi="Times New Roman" w:cs="Times New Roman"/>
              </w:rPr>
              <w:t>au sociétés coopératives existantes</w:t>
            </w:r>
            <w:proofErr w:type="gramEnd"/>
            <w:r w:rsidRPr="002F1172">
              <w:rPr>
                <w:rFonts w:ascii="Times New Roman" w:hAnsi="Times New Roman" w:cs="Times New Roman"/>
              </w:rPr>
              <w:t xml:space="preserve"> </w:t>
            </w:r>
          </w:p>
        </w:tc>
        <w:tc>
          <w:tcPr>
            <w:tcW w:w="0" w:type="auto"/>
            <w:shd w:val="clear" w:color="auto" w:fill="FFF2CC" w:themeFill="accent4" w:themeFillTint="33"/>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97, 1°, b</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1233-85,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Contenu et modalités d'adoption de la convention signée dans le cadre de la revitalisation des bassins d'emploi</w:t>
            </w:r>
          </w:p>
        </w:tc>
        <w:tc>
          <w:tcPr>
            <w:tcW w:w="0" w:type="auto"/>
            <w:vAlign w:val="center"/>
            <w:hideMark/>
          </w:tcPr>
          <w:p w:rsidR="002F1172" w:rsidRPr="002F1172" w:rsidRDefault="00EE2272" w:rsidP="002F1172">
            <w:pPr>
              <w:rPr>
                <w:rFonts w:ascii="Times New Roman" w:hAnsi="Times New Roman" w:cs="Times New Roman"/>
              </w:rPr>
            </w:pPr>
            <w:hyperlink r:id="rId63" w:history="1">
              <w:r w:rsidR="002F1172" w:rsidRPr="002F1172">
                <w:rPr>
                  <w:rStyle w:val="Lienhypertexte"/>
                  <w:rFonts w:ascii="Times New Roman" w:hAnsi="Times New Roman" w:cs="Times New Roman"/>
                </w:rPr>
                <w:t>Décret n° 2016-1473 du 28/10/2016</w:t>
              </w:r>
            </w:hyperlink>
            <w:r w:rsidR="002F1172" w:rsidRPr="002F1172">
              <w:rPr>
                <w:rFonts w:ascii="Times New Roman" w:hAnsi="Times New Roman" w:cs="Times New Roman"/>
              </w:rPr>
              <w:t xml:space="preserve"> </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98, 1°, c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28 V, loi n° 2008-1249 du 1/12/2008 généralisant le RSA</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Taux de la cotisation obligatoire assise sur la rémunération prévue pour les bénéficiaires d'un CUI-CAE</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septembre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102, II, 7°</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4624-1,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Délai de la visite d’information et de prévention effectuée après l’embauche par l’un des professionnels de santé donnant lieu à la délivrance d’une attestation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102, II, 7°</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4624-1,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de la surveillance médicale des travailleurs de nuit (même texte que article 2/L 3122-11)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102, II, 10°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4625-1-1,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Adaptation des règles concernant la visite d'information et de prévention et l'examen médical d'aptitude pour les salariés temporaires et les salariés en CDD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103, 2°</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2221-7-1, code des transports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dans lesquelles les personnels exerçant les tâches de sécurité ferroviaire sur le réseau ferré national sont </w:t>
            </w:r>
            <w:proofErr w:type="gramStart"/>
            <w:r w:rsidRPr="002F1172">
              <w:rPr>
                <w:rFonts w:ascii="Times New Roman" w:hAnsi="Times New Roman" w:cs="Times New Roman"/>
              </w:rPr>
              <w:t>soumis</w:t>
            </w:r>
            <w:proofErr w:type="gramEnd"/>
            <w:r w:rsidRPr="002F1172">
              <w:rPr>
                <w:rFonts w:ascii="Times New Roman" w:hAnsi="Times New Roman" w:cs="Times New Roman"/>
              </w:rPr>
              <w:t xml:space="preserve"> à une vérification de leur aptitude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103, 2°</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2221-7-1, code des transports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de reconnaissance d’aptitude délivrée à l’étranger</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105, I, 2°, b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1262-4-1,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dans lesquelles le maître d’ouvrage ou le donneur d’ordre est tenu de transmettre, par voie dématérialisée, la déclaration de détachement et modalités de mise en œuvre de l'obligation de vigilance du MO sur la déclaration sur toute la chaine de sous </w:t>
            </w:r>
            <w:proofErr w:type="spellStart"/>
            <w:r w:rsidRPr="002F1172">
              <w:rPr>
                <w:rFonts w:ascii="Times New Roman" w:hAnsi="Times New Roman" w:cs="Times New Roman"/>
              </w:rPr>
              <w:t>traitance</w:t>
            </w:r>
            <w:proofErr w:type="spellEnd"/>
            <w:r w:rsidRPr="002F1172">
              <w:rPr>
                <w:rFonts w:ascii="Times New Roman" w:hAnsi="Times New Roman" w:cs="Times New Roman"/>
              </w:rPr>
              <w:t xml:space="preserve">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105, I, 3°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1262-4-5,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de mise en œuvre de l'obligation d'affichage par le maître d'ouvrage sur les chantiers de bâtiment ou génie civil sur la réglementation applicable aux travailleurs détachés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105, I, 3°</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1262-4-5,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de mise en œuvre de l'obligation d'affichage par le maître d'ouvrage sur les chantiers de bâtiment ou génie civil sur la réglementation applicable aux travailleurs détachés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105, II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8221-5,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Document équivalent au bulletin de paye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106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1262-4-6, code du travail, I</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Montant forfaitaire de la contribution destinée à compenser les coûts de mise en place et de fonctionnement du système dématérialisé de déclaration et de contrôle des travailleurs détachés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107,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1263-4-1,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Modalités d'application de la suspension de la prestation par l'inspecteur du travail en cas de défaut de déclaration du détachement à l'issue du délai de 48 heures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113, I </w:t>
            </w:r>
          </w:p>
        </w:tc>
        <w:tc>
          <w:tcPr>
            <w:tcW w:w="0" w:type="auto"/>
            <w:vAlign w:val="center"/>
            <w:hideMark/>
          </w:tcPr>
          <w:p w:rsidR="002F1172" w:rsidRPr="002F1172" w:rsidRDefault="002F1172" w:rsidP="002F1172">
            <w:pPr>
              <w:rPr>
                <w:rFonts w:ascii="Times New Roman" w:hAnsi="Times New Roman" w:cs="Times New Roman"/>
              </w:rPr>
            </w:pP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Conditions d’inscription sur la liste d'aptitude pour le recrutement des inspecteurs du travail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octobre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113, II, 1°</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4412-2,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Repérage avant travaux amiante : conditions d’application, ou d’exemption selon la nature de l’opération envisagée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116, III, 1°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8112-1,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Conditions dans lesquelles les attributions des agents de contrôle de l’inspection du travail peuvent être exercées par des agents de contrôle assimilés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novembre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117</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8124-1,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Code de déontologie du service public de l’inspection du travail fixant les règles que doivent respecter ses agents ainsi que leurs droits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Publication envisagée en décembre 2016</w:t>
            </w:r>
          </w:p>
        </w:tc>
      </w:tr>
      <w:tr w:rsidR="002F1172" w:rsidRPr="002F1172" w:rsidTr="002F1172">
        <w:trPr>
          <w:tblCellSpacing w:w="15" w:type="dxa"/>
        </w:trPr>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 xml:space="preserve">Article 119, I, 1°, d </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Article L 5426-8-1, code du travail</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Détermination du plafond des retenues qui peuvent être opérées sur les allocations versées par Pôle Emploi pour le recouvrement des indus</w:t>
            </w:r>
          </w:p>
        </w:tc>
        <w:tc>
          <w:tcPr>
            <w:tcW w:w="0" w:type="auto"/>
            <w:vAlign w:val="center"/>
            <w:hideMark/>
          </w:tcPr>
          <w:p w:rsidR="002F1172" w:rsidRPr="002F1172" w:rsidRDefault="002F1172" w:rsidP="002F1172">
            <w:pPr>
              <w:rPr>
                <w:rFonts w:ascii="Times New Roman" w:hAnsi="Times New Roman" w:cs="Times New Roman"/>
              </w:rPr>
            </w:pPr>
            <w:r w:rsidRPr="002F1172">
              <w:rPr>
                <w:rFonts w:ascii="Times New Roman" w:hAnsi="Times New Roman" w:cs="Times New Roman"/>
              </w:rPr>
              <w:t>Le texte réglementaire existe déjà: article R 3252-2, code du travail.</w:t>
            </w:r>
          </w:p>
        </w:tc>
      </w:tr>
    </w:tbl>
    <w:p w:rsidR="00EB6961" w:rsidRPr="002F1172" w:rsidRDefault="00EB6961">
      <w:pPr>
        <w:rPr>
          <w:rFonts w:ascii="Times New Roman" w:hAnsi="Times New Roman" w:cs="Times New Roman"/>
        </w:rPr>
      </w:pPr>
    </w:p>
    <w:sectPr w:rsidR="00EB6961" w:rsidRPr="002F1172" w:rsidSect="002F117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01"/>
    <w:rsid w:val="000A1B3E"/>
    <w:rsid w:val="001A0EE8"/>
    <w:rsid w:val="002F1172"/>
    <w:rsid w:val="003C415F"/>
    <w:rsid w:val="004B6301"/>
    <w:rsid w:val="00EB6961"/>
    <w:rsid w:val="00EE2272"/>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90601-AB6A-4697-9C12-BABAC593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1172"/>
    <w:rPr>
      <w:color w:val="0000FF"/>
      <w:u w:val="single"/>
    </w:rPr>
  </w:style>
  <w:style w:type="paragraph" w:styleId="Textedebulles">
    <w:name w:val="Balloon Text"/>
    <w:basedOn w:val="Normal"/>
    <w:link w:val="TextedebullesCar"/>
    <w:uiPriority w:val="99"/>
    <w:semiHidden/>
    <w:unhideWhenUsed/>
    <w:rsid w:val="000A1B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1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0981">
      <w:bodyDiv w:val="1"/>
      <w:marLeft w:val="0"/>
      <w:marRight w:val="0"/>
      <w:marTop w:val="0"/>
      <w:marBottom w:val="0"/>
      <w:divBdr>
        <w:top w:val="none" w:sz="0" w:space="0" w:color="auto"/>
        <w:left w:val="none" w:sz="0" w:space="0" w:color="auto"/>
        <w:bottom w:val="none" w:sz="0" w:space="0" w:color="auto"/>
        <w:right w:val="none" w:sz="0" w:space="0" w:color="auto"/>
      </w:divBdr>
      <w:divsChild>
        <w:div w:id="1837845636">
          <w:marLeft w:val="0"/>
          <w:marRight w:val="0"/>
          <w:marTop w:val="0"/>
          <w:marBottom w:val="0"/>
          <w:divBdr>
            <w:top w:val="none" w:sz="0" w:space="0" w:color="auto"/>
            <w:left w:val="none" w:sz="0" w:space="0" w:color="auto"/>
            <w:bottom w:val="none" w:sz="0" w:space="0" w:color="auto"/>
            <w:right w:val="none" w:sz="0" w:space="0" w:color="auto"/>
          </w:divBdr>
        </w:div>
        <w:div w:id="89594978">
          <w:marLeft w:val="0"/>
          <w:marRight w:val="0"/>
          <w:marTop w:val="0"/>
          <w:marBottom w:val="0"/>
          <w:divBdr>
            <w:top w:val="none" w:sz="0" w:space="0" w:color="auto"/>
            <w:left w:val="none" w:sz="0" w:space="0" w:color="auto"/>
            <w:bottom w:val="none" w:sz="0" w:space="0" w:color="auto"/>
            <w:right w:val="none" w:sz="0" w:space="0" w:color="auto"/>
          </w:divBdr>
        </w:div>
        <w:div w:id="486626364">
          <w:marLeft w:val="0"/>
          <w:marRight w:val="0"/>
          <w:marTop w:val="0"/>
          <w:marBottom w:val="0"/>
          <w:divBdr>
            <w:top w:val="none" w:sz="0" w:space="0" w:color="auto"/>
            <w:left w:val="none" w:sz="0" w:space="0" w:color="auto"/>
            <w:bottom w:val="none" w:sz="0" w:space="0" w:color="auto"/>
            <w:right w:val="none" w:sz="0" w:space="0" w:color="auto"/>
          </w:divBdr>
        </w:div>
      </w:divsChild>
    </w:div>
    <w:div w:id="867790368">
      <w:bodyDiv w:val="1"/>
      <w:marLeft w:val="0"/>
      <w:marRight w:val="0"/>
      <w:marTop w:val="0"/>
      <w:marBottom w:val="0"/>
      <w:divBdr>
        <w:top w:val="none" w:sz="0" w:space="0" w:color="auto"/>
        <w:left w:val="none" w:sz="0" w:space="0" w:color="auto"/>
        <w:bottom w:val="none" w:sz="0" w:space="0" w:color="auto"/>
        <w:right w:val="none" w:sz="0" w:space="0" w:color="auto"/>
      </w:divBdr>
      <w:divsChild>
        <w:div w:id="1108159535">
          <w:marLeft w:val="0"/>
          <w:marRight w:val="0"/>
          <w:marTop w:val="0"/>
          <w:marBottom w:val="0"/>
          <w:divBdr>
            <w:top w:val="none" w:sz="0" w:space="0" w:color="auto"/>
            <w:left w:val="none" w:sz="0" w:space="0" w:color="auto"/>
            <w:bottom w:val="none" w:sz="0" w:space="0" w:color="auto"/>
            <w:right w:val="none" w:sz="0" w:space="0" w:color="auto"/>
          </w:divBdr>
        </w:div>
        <w:div w:id="181941442">
          <w:marLeft w:val="0"/>
          <w:marRight w:val="0"/>
          <w:marTop w:val="0"/>
          <w:marBottom w:val="0"/>
          <w:divBdr>
            <w:top w:val="none" w:sz="0" w:space="0" w:color="auto"/>
            <w:left w:val="none" w:sz="0" w:space="0" w:color="auto"/>
            <w:bottom w:val="none" w:sz="0" w:space="0" w:color="auto"/>
            <w:right w:val="none" w:sz="0" w:space="0" w:color="auto"/>
          </w:divBdr>
        </w:div>
        <w:div w:id="186771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do;jsessionid=7AF7CD7388D123B6D3C08AC3DFB097AF.tpdila17v_2?cidTexte=JORFTEXT000033420866&amp;dateTexte=" TargetMode="External"/><Relationship Id="rId18" Type="http://schemas.openxmlformats.org/officeDocument/2006/relationships/hyperlink" Target="https://www.legifrance.gouv.fr/affichTexte.do;jsessionid=7AF7CD7388D123B6D3C08AC3DFB097AF.tpdila17v_2?cidTexte=JORFTEXT000033420377&amp;dateTexte=" TargetMode="External"/><Relationship Id="rId26" Type="http://schemas.openxmlformats.org/officeDocument/2006/relationships/hyperlink" Target="https://www.legifrance.gouv.fr/affichTexte.do;jsessionid=7AF7CD7388D123B6D3C08AC3DFB097AF.tpdila17v_2?cidTexte=JORFTEXT000033420690&amp;dateTexte=" TargetMode="External"/><Relationship Id="rId39" Type="http://schemas.openxmlformats.org/officeDocument/2006/relationships/hyperlink" Target="https://www.legifrance.gouv.fr/affichTexte.do;jsessionid=7AF7CD7388D123B6D3C08AC3DFB097AF.tpdila17v_2?cidTexte=JORFTEXT000033420690&amp;dateTexte=" TargetMode="External"/><Relationship Id="rId21" Type="http://schemas.openxmlformats.org/officeDocument/2006/relationships/hyperlink" Target="https://www.legifrance.gouv.fr/affichTexte.do;jsessionid=7AF7CD7388D123B6D3C08AC3DFB097AF.tpdila17v_2?cidTexte=JORFTEXT000033420866&amp;dateTexte=" TargetMode="External"/><Relationship Id="rId34" Type="http://schemas.openxmlformats.org/officeDocument/2006/relationships/hyperlink" Target="https://www.legifrance.gouv.fr/affichTexte.do;jsessionid=7AF7CD7388D123B6D3C08AC3DFB097AF.tpdila17v_2?cidTexte=JORFTEXT000033421142&amp;dateTexte=" TargetMode="External"/><Relationship Id="rId42" Type="http://schemas.openxmlformats.org/officeDocument/2006/relationships/hyperlink" Target="https://www.legifrance.gouv.fr/affichTexte.do;jsessionid=7AF7CD7388D123B6D3C08AC3DFB097AF.tpdila17v_2?cidTexte=JORFTEXT000033421142&amp;dateTexte=" TargetMode="External"/><Relationship Id="rId47" Type="http://schemas.openxmlformats.org/officeDocument/2006/relationships/hyperlink" Target="https://www.legifrance.gouv.fr/affichTexte.do;jsessionid=7AF7CD7388D123B6D3C08AC3DFB097AF.tpdila17v_2?cidTexte=JORFTEXT000033420690&amp;dateTexte=" TargetMode="External"/><Relationship Id="rId50" Type="http://schemas.openxmlformats.org/officeDocument/2006/relationships/hyperlink" Target="https://www.legifrance.gouv.fr/affichTexte.do;jsessionid=7AF7CD7388D123B6D3C08AC3DFB097AF.tpdila17v_2?cidTexte=JORFTEXT000033420690&amp;dateTexte=" TargetMode="External"/><Relationship Id="rId55" Type="http://schemas.openxmlformats.org/officeDocument/2006/relationships/hyperlink" Target="https://www.legifrance.gouv.fr/affichTexte.do;jsessionid=7AF7CD7388D123B6D3C08AC3DFB097AF.tpdila17v_2?cidTexte=JORFTEXT000033421142&amp;dateTexte=" TargetMode="External"/><Relationship Id="rId63" Type="http://schemas.openxmlformats.org/officeDocument/2006/relationships/hyperlink" Target="https://www.legifrance.gouv.fr/affichTexte.do;jsessionid=7AF7CD7388D123B6D3C08AC3DFB097AF.tpdila17v_2?cidTexte=JORFTEXT000033335187&amp;dateTexte=" TargetMode="External"/><Relationship Id="rId7" Type="http://schemas.openxmlformats.org/officeDocument/2006/relationships/hyperlink" Target="https://www.legifrance.gouv.fr/affichTexte.do;jsessionid=7AF7CD7388D123B6D3C08AC3DFB097AF.tpdila17v_2?cidTexte=JORFTEXT000033420866&amp;dateTexte=" TargetMode="External"/><Relationship Id="rId2" Type="http://schemas.openxmlformats.org/officeDocument/2006/relationships/settings" Target="settings.xml"/><Relationship Id="rId16" Type="http://schemas.openxmlformats.org/officeDocument/2006/relationships/hyperlink" Target="https://www.legifrance.gouv.fr/affichTexte.do;jsessionid=7AF7CD7388D123B6D3C08AC3DFB097AF.tpdila17v_2?cidTexte=JORFTEXT000033420377&amp;dateTexte=" TargetMode="External"/><Relationship Id="rId20" Type="http://schemas.openxmlformats.org/officeDocument/2006/relationships/hyperlink" Target="https://www.legifrance.gouv.fr/affichTexte.do;jsessionid=7AF7CD7388D123B6D3C08AC3DFB097AF.tpdila17v_2?cidTexte=JORFTEXT000033420866&amp;dateTexte=" TargetMode="External"/><Relationship Id="rId29" Type="http://schemas.openxmlformats.org/officeDocument/2006/relationships/hyperlink" Target="https://www.legifrance.gouv.fr/affichTexte.do;jsessionid=7AF7CD7388D123B6D3C08AC3DFB097AF.tpdila17v_2?cidTexte=JORFTEXT000033421142&amp;dateTexte=" TargetMode="External"/><Relationship Id="rId41" Type="http://schemas.openxmlformats.org/officeDocument/2006/relationships/hyperlink" Target="https://www.legifrance.gouv.fr/affichTexte.do;jsessionid=7AF7CD7388D123B6D3C08AC3DFB097AF.tpdila17v_2?cidTexte=JORFTEXT000033420690&amp;dateTexte=" TargetMode="External"/><Relationship Id="rId54" Type="http://schemas.openxmlformats.org/officeDocument/2006/relationships/hyperlink" Target="https://www.legifrance.gouv.fr/affichTexte.do;jsessionid=7AF7CD7388D123B6D3C08AC3DFB097AF.tpdila17v_2?cidTexte=JORFTEXT000033420690&amp;dateTexte=" TargetMode="External"/><Relationship Id="rId62" Type="http://schemas.openxmlformats.org/officeDocument/2006/relationships/hyperlink" Target="https://www.legifrance.gouv.fr/affichTexte.do;jsessionid=7AF7CD7388D123B6D3C08AC3DFB097AF.tpdila17v_2?cidTexte=JORFTEXT000033000375&amp;dateTexte=" TargetMode="External"/><Relationship Id="rId1" Type="http://schemas.openxmlformats.org/officeDocument/2006/relationships/styles" Target="styles.xml"/><Relationship Id="rId6" Type="http://schemas.openxmlformats.org/officeDocument/2006/relationships/hyperlink" Target="https://www.legifrance.gouv.fr/affichTexte.do;jsessionid=7AF7CD7388D123B6D3C08AC3DFB097AF.tpdila17v_2?cidTexte=JORFTEXT000033420866&amp;dateTexte=" TargetMode="External"/><Relationship Id="rId11" Type="http://schemas.openxmlformats.org/officeDocument/2006/relationships/hyperlink" Target="https://www.legifrance.gouv.fr/affichTexte.do;jsessionid=7AF7CD7388D123B6D3C08AC3DFB097AF.tpdila17v_2?cidTexte=JORFTEXT000033420866&amp;dateTexte=" TargetMode="External"/><Relationship Id="rId24" Type="http://schemas.openxmlformats.org/officeDocument/2006/relationships/hyperlink" Target="https://www.legifrance.gouv.fr/affichTexte.do;jsessionid=7AF7CD7388D123B6D3C08AC3DFB097AF.tpdila17v_2?cidTexte=JORFTEXT000033420866&amp;dateTexte=" TargetMode="External"/><Relationship Id="rId32" Type="http://schemas.openxmlformats.org/officeDocument/2006/relationships/hyperlink" Target="https://www.legifrance.gouv.fr/affichTexte.do;jsessionid=7AF7CD7388D123B6D3C08AC3DFB097AF.tpdila17v_2?cidTexte=JORFTEXT000033421088&amp;dateTexte=" TargetMode="External"/><Relationship Id="rId37" Type="http://schemas.openxmlformats.org/officeDocument/2006/relationships/hyperlink" Target="https://www.legifrance.gouv.fr/affichTexte.do;jsessionid=7AF7CD7388D123B6D3C08AC3DFB097AF.tpdila17v_2?cidTexte=JORFTEXT000033421142&amp;dateTexte=" TargetMode="External"/><Relationship Id="rId40" Type="http://schemas.openxmlformats.org/officeDocument/2006/relationships/hyperlink" Target="https://www.legifrance.gouv.fr/affichTexte.do;jsessionid=7AF7CD7388D123B6D3C08AC3DFB097AF.tpdila17v_2?cidTexte=JORFTEXT000033421142&amp;dateTexte=" TargetMode="External"/><Relationship Id="rId45" Type="http://schemas.openxmlformats.org/officeDocument/2006/relationships/hyperlink" Target="https://www.legifrance.gouv.fr/affichTexte.do;jsessionid=7AF7CD7388D123B6D3C08AC3DFB097AF.tpdila17v_2?cidTexte=JORFTEXT000033421142&amp;dateTexte=" TargetMode="External"/><Relationship Id="rId53" Type="http://schemas.openxmlformats.org/officeDocument/2006/relationships/hyperlink" Target="https://www.legifrance.gouv.fr/affichTexte.do;jsessionid=7AF7CD7388D123B6D3C08AC3DFB097AF.tpdila17v_2?cidTexte=JORFTEXT000033420690&amp;dateTexte=" TargetMode="External"/><Relationship Id="rId58" Type="http://schemas.openxmlformats.org/officeDocument/2006/relationships/hyperlink" Target="https://www.legifrance.gouv.fr/affichTexte.do;jsessionid=7AF7CD7388D123B6D3C08AC3DFB097AF.tpdila17v_2?cidTexte=JORFTEXT000033309501&amp;dateTexte=" TargetMode="External"/><Relationship Id="rId5" Type="http://schemas.openxmlformats.org/officeDocument/2006/relationships/hyperlink" Target="https://www.legifrance.gouv.fr/affichTexte.do;jsessionid=7AF7CD7388D123B6D3C08AC3DFB097AF.tpdila17v_2?cidTexte=JORFTEXT000033420377&amp;dateTexte=" TargetMode="External"/><Relationship Id="rId15" Type="http://schemas.openxmlformats.org/officeDocument/2006/relationships/hyperlink" Target="https://www.legifrance.gouv.fr/affichTexte.do;jsessionid=7AF7CD7388D123B6D3C08AC3DFB097AF.tpdila17v_2?cidTexte=JORFTEXT000033420377&amp;dateTexte=" TargetMode="External"/><Relationship Id="rId23" Type="http://schemas.openxmlformats.org/officeDocument/2006/relationships/hyperlink" Target="https://www.legifrance.gouv.fr/affichTexte.do;jsessionid=7AF7CD7388D123B6D3C08AC3DFB097AF.tpdila17v_2?cidTexte=JORFTEXT000033420866&amp;dateTexte=" TargetMode="External"/><Relationship Id="rId28" Type="http://schemas.openxmlformats.org/officeDocument/2006/relationships/hyperlink" Target="https://www.legifrance.gouv.fr/affichTexte.do;jsessionid=7AF7CD7388D123B6D3C08AC3DFB097AF.tpdila17v_2?cidTexte=JORFTEXT000033421142&amp;dateTexte=" TargetMode="External"/><Relationship Id="rId36" Type="http://schemas.openxmlformats.org/officeDocument/2006/relationships/hyperlink" Target="https://www.legifrance.gouv.fr/affichTexte.do;jsessionid=7AF7CD7388D123B6D3C08AC3DFB097AF.tpdila17v_2?cidTexte=JORFTEXT000033420690&amp;dateTexte=" TargetMode="External"/><Relationship Id="rId49" Type="http://schemas.openxmlformats.org/officeDocument/2006/relationships/hyperlink" Target="https://www.legifrance.gouv.fr/affichTexte.do;jsessionid=7AF7CD7388D123B6D3C08AC3DFB097AF.tpdila17v_2?cidTexte=JORFTEXT000033421142&amp;dateTexte=" TargetMode="External"/><Relationship Id="rId57" Type="http://schemas.openxmlformats.org/officeDocument/2006/relationships/hyperlink" Target="https://www.legifrance.gouv.fr/affichTexte.do;jsessionid=7AF7CD7388D123B6D3C08AC3DFB097AF.tpdila17v_2?cidTexte=JORFTEXT000033421142&amp;dateTexte=" TargetMode="External"/><Relationship Id="rId61" Type="http://schemas.openxmlformats.org/officeDocument/2006/relationships/hyperlink" Target="https://www.legifrance.gouv.fr/affichTexte.do;jsessionid=7AF7CD7388D123B6D3C08AC3DFB097AF.tpdila17v_2?cidTexte=JORFTEXT000033394555&amp;dateTexte=" TargetMode="External"/><Relationship Id="rId10" Type="http://schemas.openxmlformats.org/officeDocument/2006/relationships/hyperlink" Target="https://www.legifrance.gouv.fr/affichTexte.do;jsessionid=7AF7CD7388D123B6D3C08AC3DFB097AF.tpdila17v_2?cidTexte=JORFTEXT000033420377&amp;dateTexte=" TargetMode="External"/><Relationship Id="rId19" Type="http://schemas.openxmlformats.org/officeDocument/2006/relationships/hyperlink" Target="https://www.legifrance.gouv.fr/affichTexte.do;jsessionid=7AF7CD7388D123B6D3C08AC3DFB097AF.tpdila17v_2?cidTexte=JORFTEXT000033420866&amp;dateTexte=" TargetMode="External"/><Relationship Id="rId31" Type="http://schemas.openxmlformats.org/officeDocument/2006/relationships/hyperlink" Target="https://www.legifrance.gouv.fr/affichTexte.do;jsessionid=7AF7CD7388D123B6D3C08AC3DFB097AF.tpdila17v_2?cidTexte=JORFTEXT000033420690&amp;dateTexte=" TargetMode="External"/><Relationship Id="rId44" Type="http://schemas.openxmlformats.org/officeDocument/2006/relationships/hyperlink" Target="https://www.legifrance.gouv.fr/affichTexte.do;jsessionid=7AF7CD7388D123B6D3C08AC3DFB097AF.tpdila17v_2?cidTexte=JORFTEXT000033420690&amp;dateTexte=" TargetMode="External"/><Relationship Id="rId52" Type="http://schemas.openxmlformats.org/officeDocument/2006/relationships/hyperlink" Target="https://www.legifrance.gouv.fr/affichTexte.do;jsessionid=7AF7CD7388D123B6D3C08AC3DFB097AF.tpdila17v_2?cidTexte=JORFTEXT000033421142&amp;dateTexte=" TargetMode="External"/><Relationship Id="rId60" Type="http://schemas.openxmlformats.org/officeDocument/2006/relationships/hyperlink" Target="https://www.legifrance.gouv.fr/affichTexte.do;jsessionid=7AF7CD7388D123B6D3C08AC3DFB097AF.tpdila17v_2?cidTexte=JORFTEXT000033421298&amp;dateTexte=" TargetMode="External"/><Relationship Id="rId65" Type="http://schemas.openxmlformats.org/officeDocument/2006/relationships/theme" Target="theme/theme1.xml"/><Relationship Id="rId4" Type="http://schemas.openxmlformats.org/officeDocument/2006/relationships/hyperlink" Target="https://www.legifrance.gouv.fr/affichTexte.do;jsessionid=7AF7CD7388D123B6D3C08AC3DFB097AF.tpdila17v_2?cidTexte=JORFTEXT000033420377&amp;dateTexte=" TargetMode="External"/><Relationship Id="rId9" Type="http://schemas.openxmlformats.org/officeDocument/2006/relationships/hyperlink" Target="https://www.legifrance.gouv.fr/affichTexte.do;jsessionid=7AF7CD7388D123B6D3C08AC3DFB097AF.tpdila17v_2?cidTexte=JORFTEXT000033420377&amp;dateTexte=" TargetMode="External"/><Relationship Id="rId14" Type="http://schemas.openxmlformats.org/officeDocument/2006/relationships/hyperlink" Target="https://www.legifrance.gouv.fr/affichTexte.do;jsessionid=7AF7CD7388D123B6D3C08AC3DFB097AF.tpdila17v_2?cidTexte=JORFTEXT000033420377&amp;dateTexte=" TargetMode="External"/><Relationship Id="rId22" Type="http://schemas.openxmlformats.org/officeDocument/2006/relationships/hyperlink" Target="https://www.legifrance.gouv.fr/affichTexte.do;jsessionid=7AF7CD7388D123B6D3C08AC3DFB097AF.tpdila17v_2?cidTexte=JORFTEXT000033420866&amp;dateTexte=" TargetMode="External"/><Relationship Id="rId27" Type="http://schemas.openxmlformats.org/officeDocument/2006/relationships/hyperlink" Target="https://www.legifrance.gouv.fr/affichTexte.do;jsessionid=7AF7CD7388D123B6D3C08AC3DFB097AF.tpdila17v_2?cidTexte=JORFTEXT000033420690&amp;dateTexte=" TargetMode="External"/><Relationship Id="rId30" Type="http://schemas.openxmlformats.org/officeDocument/2006/relationships/hyperlink" Target="https://www.legifrance.gouv.fr/affichTexte.do;jsessionid=7AF7CD7388D123B6D3C08AC3DFB097AF.tpdila17v_2?cidTexte=JORFTEXT000033421088&amp;dateTexte=" TargetMode="External"/><Relationship Id="rId35" Type="http://schemas.openxmlformats.org/officeDocument/2006/relationships/hyperlink" Target="https://www.legifrance.gouv.fr/affichTexte.do;jsessionid=7AF7CD7388D123B6D3C08AC3DFB097AF.tpdila17v_2?cidTexte=JORFTEXT000033420690&amp;dateTexte=" TargetMode="External"/><Relationship Id="rId43" Type="http://schemas.openxmlformats.org/officeDocument/2006/relationships/hyperlink" Target="https://www.legifrance.gouv.fr/affichTexte.do;jsessionid=7AF7CD7388D123B6D3C08AC3DFB097AF.tpdila17v_2?cidTexte=JORFTEXT000033420690&amp;dateTexte=" TargetMode="External"/><Relationship Id="rId48" Type="http://schemas.openxmlformats.org/officeDocument/2006/relationships/hyperlink" Target="https://www.legifrance.gouv.fr/affichTexte.do;jsessionid=7AF7CD7388D123B6D3C08AC3DFB097AF.tpdila17v_2?cidTexte=JORFTEXT000033420690&amp;dateTexte=" TargetMode="External"/><Relationship Id="rId56" Type="http://schemas.openxmlformats.org/officeDocument/2006/relationships/hyperlink" Target="https://www.legifrance.gouv.fr/affichTexte.do;jsessionid=7AF7CD7388D123B6D3C08AC3DFB097AF.tpdila17v_2?cidTexte=JORFTEXT000033421142&amp;dateTexte=" TargetMode="External"/><Relationship Id="rId64" Type="http://schemas.openxmlformats.org/officeDocument/2006/relationships/fontTable" Target="fontTable.xml"/><Relationship Id="rId8" Type="http://schemas.openxmlformats.org/officeDocument/2006/relationships/hyperlink" Target="https://www.legifrance.gouv.fr/affichTexte.do;jsessionid=7AF7CD7388D123B6D3C08AC3DFB097AF.tpdila17v_2?cidTexte=JORFTEXT000033420377&amp;dateTexte=" TargetMode="External"/><Relationship Id="rId51" Type="http://schemas.openxmlformats.org/officeDocument/2006/relationships/hyperlink" Target="https://www.legifrance.gouv.fr/affichTexte.do;jsessionid=7AF7CD7388D123B6D3C08AC3DFB097AF.tpdila17v_2?cidTexte=JORFTEXT000033421142&amp;dateTexte=" TargetMode="External"/><Relationship Id="rId3" Type="http://schemas.openxmlformats.org/officeDocument/2006/relationships/webSettings" Target="webSettings.xml"/><Relationship Id="rId12" Type="http://schemas.openxmlformats.org/officeDocument/2006/relationships/hyperlink" Target="https://www.legifrance.gouv.fr/affichTexte.do;jsessionid=7AF7CD7388D123B6D3C08AC3DFB097AF.tpdila17v_2?cidTexte=JORFTEXT000033420866&amp;dateTexte=" TargetMode="External"/><Relationship Id="rId17" Type="http://schemas.openxmlformats.org/officeDocument/2006/relationships/hyperlink" Target="https://www.legifrance.gouv.fr/affichTexte.do;jsessionid=7AF7CD7388D123B6D3C08AC3DFB097AF.tpdila17v_2?cidTexte=JORFTEXT000033420377&amp;dateTexte=" TargetMode="External"/><Relationship Id="rId25" Type="http://schemas.openxmlformats.org/officeDocument/2006/relationships/hyperlink" Target="https://www.legifrance.gouv.fr/affichTexte.do;jsessionid=7AF7CD7388D123B6D3C08AC3DFB097AF.tpdila17v_2?cidTexte=JORFTEXT000033420377&amp;dateTexte=" TargetMode="External"/><Relationship Id="rId33" Type="http://schemas.openxmlformats.org/officeDocument/2006/relationships/hyperlink" Target="https://www.legifrance.gouv.fr/affichTexte.do;jsessionid=7AF7CD7388D123B6D3C08AC3DFB097AF.tpdila17v_2?cidTexte=JORFTEXT000033421142&amp;dateTexte=" TargetMode="External"/><Relationship Id="rId38" Type="http://schemas.openxmlformats.org/officeDocument/2006/relationships/hyperlink" Target="https://www.legifrance.gouv.fr/affichTexte.do;jsessionid=7AF7CD7388D123B6D3C08AC3DFB097AF.tpdila17v_2?cidTexte=JORFTEXT000033420690&amp;dateTexte=" TargetMode="External"/><Relationship Id="rId46" Type="http://schemas.openxmlformats.org/officeDocument/2006/relationships/hyperlink" Target="https://www.legifrance.gouv.fr/affichTexte.do;jsessionid=7AF7CD7388D123B6D3C08AC3DFB097AF.tpdila17v_2?cidTexte=JORFTEXT000033420690&amp;dateTexte=" TargetMode="External"/><Relationship Id="rId59" Type="http://schemas.openxmlformats.org/officeDocument/2006/relationships/hyperlink" Target="https://www.legifrance.gouv.fr/affichTexte.do;jsessionid=7AF7CD7388D123B6D3C08AC3DFB097AF.tpdila17v_2?cidTexte=JORFTEXT000018254394&amp;date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7049</Words>
  <Characters>38773</Characters>
  <Application>Microsoft Office Word</Application>
  <DocSecurity>4</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Swaim</dc:creator>
  <cp:keywords/>
  <dc:description/>
  <cp:lastModifiedBy>SAMBA - C.PERRET</cp:lastModifiedBy>
  <cp:revision>2</cp:revision>
  <cp:lastPrinted>2016-11-28T10:53:00Z</cp:lastPrinted>
  <dcterms:created xsi:type="dcterms:W3CDTF">2016-11-30T14:25:00Z</dcterms:created>
  <dcterms:modified xsi:type="dcterms:W3CDTF">2016-11-30T14:25:00Z</dcterms:modified>
</cp:coreProperties>
</file>